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pPr>
      <w:r>
        <w:rPr/>
        <w:t>Adatkezelési Tájékoztató</w:t>
      </w:r>
    </w:p>
    <w:p>
      <w:pPr>
        <w:pStyle w:val="Normal"/>
        <w:jc w:val="center"/>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jc w:val="left"/>
        <w:rPr>
          <w:rStyle w:val="IntenseReference"/>
        </w:rPr>
      </w:pPr>
      <w:r>
        <w:rPr/>
      </w:r>
    </w:p>
    <w:p>
      <w:pPr>
        <w:pStyle w:val="Normal"/>
        <w:jc w:val="left"/>
        <w:rPr/>
      </w:pPr>
      <w:r>
        <w:rPr>
          <w:rStyle w:val="IntenseReference"/>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3570"/>
        <w:gridCol w:w="5491"/>
      </w:tblGrid>
      <w:tr>
        <w:trPr/>
        <w:tc>
          <w:tcPr>
            <w:tcW w:w="3570" w:type="dxa"/>
            <w:tcBorders/>
            <w:shd w:color="auto" w:fill="auto" w:val="clear"/>
          </w:tcPr>
          <w:p>
            <w:pPr>
              <w:pStyle w:val="NoSpacing"/>
              <w:widowControl w:val="false"/>
              <w:suppressAutoHyphens w:val="true"/>
              <w:rPr/>
            </w:pPr>
            <w:r>
              <w:rPr>
                <w:b/>
              </w:rPr>
              <w:t>A weboldal üzemeltetője</w:t>
            </w:r>
            <w:r>
              <w:rPr/>
              <w:t xml:space="preserve"> </w:t>
            </w:r>
          </w:p>
          <w:p>
            <w:pPr>
              <w:pStyle w:val="NoSpacing"/>
              <w:widowControl w:val="false"/>
              <w:suppressAutoHyphens w:val="true"/>
              <w:rPr/>
            </w:pPr>
            <w:r>
              <w:rPr/>
              <w:t>(a továbbiakban: Adatkezelő):</w:t>
            </w:r>
          </w:p>
        </w:tc>
        <w:tc>
          <w:tcPr>
            <w:tcW w:w="5491" w:type="dxa"/>
            <w:tcBorders/>
            <w:shd w:color="auto" w:fill="auto" w:val="clear"/>
          </w:tcPr>
          <w:p>
            <w:pPr>
              <w:pStyle w:val="NoSpacing"/>
              <w:widowControl w:val="false"/>
              <w:suppressAutoHyphens w:val="true"/>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Szent László Katolikus Általános Iskola és Óvoda</w:t>
            </w:r>
          </w:p>
        </w:tc>
      </w:tr>
      <w:tr>
        <w:trPr/>
        <w:tc>
          <w:tcPr>
            <w:tcW w:w="9061" w:type="dxa"/>
            <w:gridSpan w:val="2"/>
            <w:tcBorders/>
            <w:shd w:color="auto" w:fill="auto" w:val="clear"/>
          </w:tcPr>
          <w:p>
            <w:pPr>
              <w:pStyle w:val="NoSpacing"/>
              <w:widowControl w:val="false"/>
              <w:suppressAutoHyphens w:val="true"/>
              <w:rPr/>
            </w:pPr>
            <w:r>
              <w:rPr>
                <w:b/>
              </w:rPr>
              <w:t>Elérhetőségeink:</w:t>
            </w:r>
          </w:p>
        </w:tc>
      </w:tr>
      <w:tr>
        <w:trPr/>
        <w:tc>
          <w:tcPr>
            <w:tcW w:w="3570" w:type="dxa"/>
            <w:tcBorders/>
            <w:shd w:color="auto" w:fill="auto" w:val="clear"/>
          </w:tcPr>
          <w:p>
            <w:pPr>
              <w:pStyle w:val="NoSpacing"/>
              <w:widowControl w:val="false"/>
              <w:suppressAutoHyphens w:val="true"/>
              <w:rPr/>
            </w:pPr>
            <w:r>
              <w:rPr/>
              <w:t>Postai címünk:</w:t>
            </w:r>
          </w:p>
        </w:tc>
        <w:tc>
          <w:tcPr>
            <w:tcW w:w="5491" w:type="dxa"/>
            <w:tcBorders/>
            <w:shd w:color="auto" w:fill="auto" w:val="clear"/>
          </w:tcPr>
          <w:p>
            <w:pPr>
              <w:pStyle w:val="NoSpacing"/>
              <w:widowControl w:val="false"/>
              <w:suppressAutoHyphens w:val="true"/>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6334 Géderlak, Dunaszentbenedeki utca 2.</w:t>
            </w:r>
          </w:p>
        </w:tc>
      </w:tr>
      <w:tr>
        <w:trPr/>
        <w:tc>
          <w:tcPr>
            <w:tcW w:w="3570" w:type="dxa"/>
            <w:tcBorders/>
            <w:shd w:color="auto" w:fill="auto" w:val="clear"/>
          </w:tcPr>
          <w:p>
            <w:pPr>
              <w:pStyle w:val="NoSpacing"/>
              <w:widowControl w:val="false"/>
              <w:suppressAutoHyphens w:val="true"/>
              <w:rPr/>
            </w:pPr>
            <w:r>
              <w:rPr/>
              <w:t>E-mail címünk:</w:t>
            </w:r>
          </w:p>
        </w:tc>
        <w:tc>
          <w:tcPr>
            <w:tcW w:w="5491" w:type="dxa"/>
            <w:tcBorders/>
            <w:shd w:color="auto" w:fill="auto" w:val="clear"/>
          </w:tcPr>
          <w:p>
            <w:pPr>
              <w:pStyle w:val="NoSpacing"/>
              <w:widowControl w:val="false"/>
              <w:suppressAutoHyphens w:val="true"/>
              <w:rPr/>
            </w:pPr>
            <w:r>
              <w:rPr>
                <w:rStyle w:val="Internethivatkozs"/>
              </w:rPr>
              <w:t xml:space="preserve">szent.laszlo.kat@gmail.com </w:t>
            </w:r>
          </w:p>
        </w:tc>
      </w:tr>
      <w:tr>
        <w:trPr/>
        <w:tc>
          <w:tcPr>
            <w:tcW w:w="3570" w:type="dxa"/>
            <w:tcBorders/>
            <w:shd w:color="auto" w:fill="auto" w:val="clear"/>
          </w:tcPr>
          <w:p>
            <w:pPr>
              <w:pStyle w:val="NoSpacing"/>
              <w:widowControl w:val="false"/>
              <w:suppressAutoHyphens w:val="true"/>
              <w:rPr/>
            </w:pPr>
            <w:r>
              <w:rPr/>
              <w:t>Telefonszámunk:</w:t>
            </w:r>
          </w:p>
        </w:tc>
        <w:tc>
          <w:tcPr>
            <w:tcW w:w="5491" w:type="dxa"/>
            <w:tcBorders/>
            <w:shd w:color="auto" w:fill="auto" w:val="clear"/>
          </w:tcPr>
          <w:p>
            <w:pPr>
              <w:pStyle w:val="NoSpacing"/>
              <w:widowControl w:val="false"/>
              <w:suppressAutoHyphens w:val="true"/>
              <w:rPr/>
            </w:pPr>
            <w:r>
              <w:rPr>
                <w:rFonts w:eastAsia="Calibri"/>
                <w:color w:val="00000A"/>
                <w:sz w:val="22"/>
              </w:rPr>
              <w:t>+3678417062</w:t>
            </w:r>
          </w:p>
        </w:tc>
      </w:tr>
      <w:tr>
        <w:trPr/>
        <w:tc>
          <w:tcPr>
            <w:tcW w:w="3570" w:type="dxa"/>
            <w:tcBorders>
              <w:top w:val="nil"/>
            </w:tcBorders>
            <w:shd w:color="auto" w:fill="auto" w:val="clear"/>
          </w:tcPr>
          <w:p>
            <w:pPr>
              <w:pStyle w:val="NoSpacing"/>
              <w:widowControl w:val="false"/>
              <w:suppressAutoHyphens w:val="true"/>
              <w:rPr>
                <w:b/>
                <w:b/>
                <w:bCs/>
              </w:rPr>
            </w:pPr>
            <w:r>
              <w:rPr>
                <w:b/>
                <w:bCs/>
              </w:rPr>
              <w:t>Adatvédelmi tisztviselőnk neve:</w:t>
            </w:r>
          </w:p>
        </w:tc>
        <w:tc>
          <w:tcPr>
            <w:tcW w:w="5491" w:type="dxa"/>
            <w:tcBorders>
              <w:top w:val="nil"/>
            </w:tcBorders>
            <w:shd w:color="auto" w:fill="auto" w:val="clear"/>
          </w:tcPr>
          <w:p>
            <w:pPr>
              <w:pStyle w:val="NoSpacing"/>
              <w:widowControl w:val="false"/>
              <w:suppressAutoHyphens w:val="true"/>
              <w:rPr/>
            </w:pPr>
            <w:r>
              <w:rPr/>
              <w:t>HANGANOV Kft.</w:t>
            </w:r>
          </w:p>
        </w:tc>
      </w:tr>
      <w:tr>
        <w:trPr>
          <w:trHeight w:val="329" w:hRule="atLeast"/>
        </w:trPr>
        <w:tc>
          <w:tcPr>
            <w:tcW w:w="3570" w:type="dxa"/>
            <w:tcBorders>
              <w:top w:val="nil"/>
            </w:tcBorders>
            <w:shd w:color="auto" w:fill="auto" w:val="clear"/>
          </w:tcPr>
          <w:p>
            <w:pPr>
              <w:pStyle w:val="NoSpacing"/>
              <w:widowControl w:val="false"/>
              <w:suppressAutoHyphens w:val="true"/>
              <w:rPr/>
            </w:pPr>
            <w:r>
              <w:rPr/>
              <w:t>Elérhetősége:</w:t>
            </w:r>
          </w:p>
        </w:tc>
        <w:tc>
          <w:tcPr>
            <w:tcW w:w="5491" w:type="dxa"/>
            <w:tcBorders>
              <w:top w:val="nil"/>
            </w:tcBorders>
            <w:shd w:color="auto" w:fill="auto" w:val="clear"/>
          </w:tcPr>
          <w:p>
            <w:pPr>
              <w:pStyle w:val="NoSpacing"/>
              <w:widowControl w:val="false"/>
              <w:suppressAutoHyphens w:val="true"/>
              <w:rPr/>
            </w:pPr>
            <w:r>
              <w:rPr>
                <w:rStyle w:val="Internethivatkozs"/>
                <w:rFonts w:eastAsia="Calibri"/>
                <w:sz w:val="22"/>
              </w:rPr>
              <w:t>dpo@hanganov.hu</w:t>
            </w:r>
          </w:p>
        </w:tc>
      </w:tr>
    </w:tbl>
    <w:p>
      <w:pPr>
        <w:pStyle w:val="Cmsor3"/>
        <w:rPr>
          <w:rStyle w:val="IntenseReference"/>
          <w:b/>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w:t>
      </w:r>
      <w:r>
        <w:rPr>
          <w:rFonts w:eastAsia="Calibri" w:cs="Times New Roman"/>
          <w:color w:val="00000A"/>
          <w:kern w:val="0"/>
          <w:sz w:val="22"/>
          <w:szCs w:val="22"/>
          <w:lang w:val="hu-HU" w:eastAsia="en-US" w:bidi="ar-SA"/>
        </w:rPr>
        <w:t>u</w:t>
      </w:r>
      <w:r>
        <w:rPr>
          <w:rFonts w:cs="Times New Roman"/>
        </w:rPr>
        <w:t>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egyházi és világi, különösen pedig az alábbiakban felsorolt jogszabályi előírásoknak megfelelően végezzük:</w:t>
      </w:r>
    </w:p>
    <w:p>
      <w:pPr>
        <w:pStyle w:val="ListParagraph"/>
        <w:numPr>
          <w:ilvl w:val="0"/>
          <w:numId w:val="3"/>
        </w:numPr>
        <w:rPr/>
      </w:pPr>
      <w:hyperlink r:id="rId3">
        <w:r>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4">
        <w:r>
          <w:rPr>
            <w:rStyle w:val="Internethivatkozs"/>
            <w:rFonts w:cs="Times New Roman"/>
          </w:rPr>
          <w:t>2011. évi CXII. törvény (Infotv.) az információs önrendelkezési jogról és információszabadságról</w:t>
        </w:r>
      </w:hyperlink>
      <w:r>
        <w:rPr>
          <w:rStyle w:val="SubtleEmphasis"/>
          <w:rFonts w:cs="Times New Roman"/>
          <w:b w:val="false"/>
        </w:rPr>
        <w:t>.</w:t>
      </w:r>
    </w:p>
    <w:p>
      <w:pPr>
        <w:pStyle w:val="Cmsor3"/>
        <w:rPr/>
      </w:pPr>
      <w:r>
        <w:rPr/>
        <w:t>Panaszkezelés és további jogérvényesítési lehetőségek</w:t>
      </w:r>
    </w:p>
    <w:p>
      <w:pPr>
        <w:pStyle w:val="Normal"/>
        <w:rPr/>
      </w:pPr>
      <w:r>
        <w:rPr/>
        <w:t>Mindent tőlünk telhetőt megteszünk, hogy a személyes adatok kezelése a jogszabályoknak, továbbá az egyházi és világi előírásoknak megfelelően történjék. Amennyiben úgy érzi, hogy nem feleltünk meg ennek vagy bármilyen kérdése merülne fel ezzel kapcsolatban, akkor kérjük, hogy jelezze Nekünk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5">
        <w:r>
          <w:rPr>
            <w:rStyle w:val="Internethivatkozs"/>
          </w:rPr>
          <w:t>Nemzeti Adatvédelmi és Információszabadság Hatósághoz</w:t>
        </w:r>
      </w:hyperlink>
      <w:r>
        <w:rPr/>
        <w:t xml:space="preserve"> fordulhat, alábbi elérhetőségein:</w:t>
      </w:r>
    </w:p>
    <w:tbl>
      <w:tblPr>
        <w:tblStyle w:val="Rcsostblzat"/>
        <w:tblW w:w="9074" w:type="dxa"/>
        <w:jc w:val="left"/>
        <w:tblInd w:w="0"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Postai cím: </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w:t>
            </w:r>
            <w:r>
              <w:rPr>
                <w:rFonts w:eastAsia="Calibri" w:cs=""/>
                <w:color w:val="00000A"/>
                <w:kern w:val="0"/>
                <w:sz w:val="22"/>
                <w:szCs w:val="22"/>
                <w:lang w:val="hu-HU" w:eastAsia="en-US" w:bidi="ar-SA"/>
              </w:rPr>
              <w:t>63</w:t>
            </w:r>
            <w:r>
              <w:rPr>
                <w:rFonts w:cs=""/>
                <w:kern w:val="0"/>
                <w:szCs w:val="22"/>
                <w:lang w:val="hu-HU" w:eastAsia="en-US" w:bidi="ar-SA"/>
              </w:rPr>
              <w:t xml:space="preserve">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+3613911400 </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E-mail: </w:t>
            </w:r>
          </w:p>
        </w:tc>
        <w:tc>
          <w:tcPr>
            <w:tcW w:w="6585" w:type="dxa"/>
            <w:tcBorders/>
            <w:shd w:color="auto" w:fill="auto" w:val="clear"/>
          </w:tcPr>
          <w:p>
            <w:pPr>
              <w:pStyle w:val="NoSpacing"/>
              <w:widowControl w:val="false"/>
              <w:suppressAutoHyphens w:val="true"/>
              <w:spacing w:before="0" w:after="0"/>
              <w:jc w:val="left"/>
              <w:rPr/>
            </w:pPr>
            <w:hyperlink r:id="rId6">
              <w:r>
                <w:rPr>
                  <w:rStyle w:val="Internethivatkozs"/>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7">
              <w:r>
                <w:rPr>
                  <w:rStyle w:val="Internethivatkozs"/>
                  <w:rFonts w:cs=""/>
                  <w:kern w:val="0"/>
                  <w:szCs w:val="22"/>
                  <w:lang w:val="hu-HU" w:eastAsia="en-US" w:bidi="ar-SA"/>
                </w:rPr>
                <w:t>www.naih.hu</w:t>
              </w:r>
            </w:hyperlink>
          </w:p>
        </w:tc>
      </w:tr>
    </w:tbl>
    <w:p>
      <w:pPr>
        <w:pStyle w:val="Normal"/>
        <w:spacing w:before="114" w:after="274"/>
        <w:rPr/>
      </w:pPr>
      <w:r>
        <w:rPr>
          <w:rStyle w:val="IntenseReference"/>
          <w:b w:val="false"/>
          <w:bCs w:val="false"/>
        </w:rPr>
        <w:t>Személyes adatai védelme érdekében bírósághoz is fordulhat, amely esetben a bíróság soron kívül jár el. Keresetét az Ön döntése alapján a lakóhelye (állandó lakcím) vagy tartózkodási helye (ideiglenes lakcím) szerint illetékes törvényszéknél nyújthatja be.</w:t>
      </w:r>
    </w:p>
    <w:p>
      <w:pPr>
        <w:pStyle w:val="Cmsor3"/>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Cmsor3"/>
        <w:rPr/>
      </w:pPr>
      <w:r>
        <w:rPr/>
        <w:t>Sütik (cookie) kezelése</w:t>
      </w:r>
    </w:p>
    <w:p>
      <w:pPr>
        <w:pStyle w:val="Normal"/>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pPr>
        <w:pStyle w:val="Normal"/>
        <w:rPr/>
      </w:pPr>
      <w:r>
        <w:rPr>
          <w:rStyle w:val="SubtleEmphasis"/>
        </w:rPr>
        <w:t>Google A</w:t>
      </w:r>
      <w:r>
        <w:rPr>
          <w:rStyle w:val="SubtleEmphasis"/>
          <w:rFonts w:eastAsia="Calibri" w:cs=""/>
          <w:b/>
          <w:i w:val="false"/>
          <w:iCs/>
          <w:color w:val="00000A"/>
          <w:kern w:val="0"/>
          <w:sz w:val="22"/>
          <w:szCs w:val="22"/>
          <w:lang w:val="hu-HU" w:eastAsia="en-US" w:bidi="ar-SA"/>
        </w:rPr>
        <w:t xml:space="preserve">ds </w:t>
      </w:r>
      <w:r>
        <w:rPr>
          <w:rStyle w:val="SubtleEmphasis"/>
        </w:rPr>
        <w:t>szolgáltatás által alkalmazott sütik</w:t>
      </w:r>
    </w:p>
    <w:p>
      <w:pPr>
        <w:pStyle w:val="Normal"/>
        <w:rPr/>
      </w:pPr>
      <w:r>
        <w:rPr>
          <w:rFonts w:cs="Times New Roman"/>
        </w:rPr>
        <w:t xml:space="preserve">Weboldalunkon a Google Ads szolgáltatás </w:t>
      </w:r>
      <w:r>
        <w:rPr>
          <w:rFonts w:eastAsia="Calibri" w:cs="Times New Roman"/>
          <w:color w:val="00000A"/>
          <w:kern w:val="0"/>
          <w:sz w:val="22"/>
          <w:szCs w:val="22"/>
          <w:lang w:val="hu-HU" w:eastAsia="en-US" w:bidi="ar-SA"/>
        </w:rPr>
        <w:t>működik.</w:t>
      </w:r>
      <w:r>
        <w:rPr>
          <w:rFonts w:cs="Times New Roman"/>
        </w:rPr>
        <w:t xml:space="preserve"> A Google Ads szolgáltatás a hirdetések hatékonyságának mérésére sütiket használ, amelyről további, részletes információkat </w:t>
      </w:r>
      <w:r>
        <w:rPr>
          <w:rFonts w:eastAsia="Calibri" w:cs="Times New Roman"/>
          <w:color w:val="00000A"/>
          <w:kern w:val="0"/>
          <w:sz w:val="22"/>
          <w:szCs w:val="22"/>
          <w:lang w:val="hu-HU" w:eastAsia="en-US" w:bidi="ar-SA"/>
        </w:rPr>
        <w:t>itt</w:t>
      </w:r>
      <w:r>
        <w:rPr>
          <w:rFonts w:cs="Times New Roman"/>
        </w:rPr>
        <w:t xml:space="preserve"> olvashat:</w:t>
      </w:r>
    </w:p>
    <w:p>
      <w:pPr>
        <w:pStyle w:val="Normal"/>
        <w:rPr/>
      </w:pPr>
      <w:hyperlink r:id="rId8">
        <w:r>
          <w:rPr>
            <w:rStyle w:val="Internethivatkozs"/>
            <w:rFonts w:cs="Times New Roman"/>
          </w:rPr>
          <w:t>https://policies.google.com/technologies/ads?hl=hu&amp;gl=hu</w:t>
        </w:r>
      </w:hyperlink>
    </w:p>
    <w:p>
      <w:pPr>
        <w:pStyle w:val="Normal"/>
        <w:rPr>
          <w:u w:val="single"/>
        </w:rPr>
      </w:pPr>
      <w:r>
        <w:rPr>
          <w:rFonts w:cs="Times New Roman"/>
          <w:u w:val="single"/>
        </w:rPr>
        <w:t>Az adatkezelés célja</w:t>
      </w:r>
    </w:p>
    <w:p>
      <w:pPr>
        <w:pStyle w:val="Normal"/>
        <w:rPr/>
      </w:pPr>
      <w:r>
        <w:rPr>
          <w:rFonts w:cs="Times New Roman"/>
        </w:rPr>
        <w:t>A Google Ads szolgáltatásban előfizetett internetes hirdetéseink teljesítményének mérése.</w:t>
      </w:r>
    </w:p>
    <w:p>
      <w:pPr>
        <w:pStyle w:val="Normal"/>
        <w:rPr/>
      </w:pPr>
      <w:r>
        <w:rPr>
          <w:rFonts w:cs="Times New Roman"/>
          <w:u w:val="single"/>
        </w:rPr>
        <w:t>A kezelt adatok köre</w:t>
      </w:r>
    </w:p>
    <w:p>
      <w:pPr>
        <w:pStyle w:val="Normal"/>
        <w:rPr/>
      </w:pPr>
      <w:r>
        <w:rPr>
          <w:rFonts w:cs="Times New Roman"/>
        </w:rPr>
        <w:t>A Google Ads szolgáltatás a hirdetések teljesítményének mérésére, a hirdetésre kattintások számára és a weboldal azokon keresztül történő megnyitására vonatkozó statisztikák készítéséhez sütiket használ, amelyek a hirdetésre kattintó felhasználó internet elérésre használt készüléke aktuális IP címe mellett a szolgáltatás által értelmezhető további információkat (betűkből, számokból és egyéb írásjelekből álló egyedi karaktersorokat) tartalmaznak. A Google szolgáltatásainak adatkezeléséről további, részletes információkat i</w:t>
      </w:r>
      <w:r>
        <w:rPr>
          <w:rFonts w:eastAsia="Calibri" w:cs="Times New Roman"/>
          <w:color w:val="00000A"/>
          <w:kern w:val="0"/>
          <w:sz w:val="22"/>
          <w:szCs w:val="22"/>
          <w:lang w:val="hu-HU" w:eastAsia="en-US" w:bidi="ar-SA"/>
        </w:rPr>
        <w:t>tt</w:t>
      </w:r>
      <w:r>
        <w:rPr>
          <w:rFonts w:cs="Times New Roman"/>
        </w:rPr>
        <w:t xml:space="preserve"> olvashat:</w:t>
      </w:r>
    </w:p>
    <w:p>
      <w:pPr>
        <w:pStyle w:val="Normal"/>
        <w:rPr/>
      </w:pPr>
      <w:hyperlink r:id="rId9">
        <w:r>
          <w:rPr>
            <w:rStyle w:val="Internethivatkozs"/>
            <w:rFonts w:cs="Times New Roman"/>
          </w:rPr>
          <w:t>https://policies.google.com/privacy/update?hl=hu&amp;gl=hu</w:t>
        </w:r>
      </w:hyperlink>
    </w:p>
    <w:p>
      <w:pPr>
        <w:pStyle w:val="Normal"/>
        <w:rPr>
          <w:u w:val="single"/>
        </w:rPr>
      </w:pPr>
      <w:r>
        <w:rPr>
          <w:rFonts w:cs="Times New Roman"/>
          <w:u w:val="single"/>
        </w:rPr>
        <w:t>Az adatkezelés időtartama</w:t>
      </w:r>
    </w:p>
    <w:p>
      <w:pPr>
        <w:pStyle w:val="Normal"/>
        <w:rPr/>
      </w:pPr>
      <w:r>
        <w:rPr>
          <w:rFonts w:cs="Times New Roman"/>
        </w:rPr>
        <w:t>A Google Ads szolgáltatás által alkalmazott sütik érvényessége általában 30 nap. További, részletes  információkat a Google sütik érvényességéről fenti hivatkozásokon találhat.</w:t>
      </w:r>
    </w:p>
    <w:p>
      <w:pPr>
        <w:pStyle w:val="Normal"/>
        <w:rPr>
          <w:u w:val="single"/>
        </w:rPr>
      </w:pPr>
      <w:r>
        <w:rPr>
          <w:rFonts w:cs="Times New Roman"/>
          <w:u w:val="single"/>
        </w:rPr>
        <w:t>Jogérvényesítés</w:t>
      </w:r>
    </w:p>
    <w:p>
      <w:pPr>
        <w:pStyle w:val="Normal"/>
        <w:rPr/>
      </w:pPr>
      <w:r>
        <w:rPr>
          <w:rFonts w:cs="Times New Roman"/>
        </w:rPr>
        <w:t>A Google által alkalmazott sütik használatát – minden további sütivel együtt – letilthatja. A készülékén tárolt sütik tartalmához bármikor hozzáférhet, azt megismerheti, megnézheti és törölheti is.</w:t>
      </w:r>
    </w:p>
    <w:p>
      <w:pPr>
        <w:pStyle w:val="Normal"/>
        <w:rPr/>
      </w:pPr>
      <w:r>
        <w:rP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pPr>
        <w:pStyle w:val="Normal"/>
        <w:spacing w:lineRule="auto" w:line="240" w:beforeAutospacing="1" w:afterAutospacing="1"/>
        <w:jc w:val="both"/>
        <w:rPr>
          <w:u w:val="single"/>
        </w:rPr>
      </w:pPr>
      <w:r>
        <w:rPr>
          <w:rStyle w:val="SubtleEmphasis"/>
          <w:rFonts w:cs="Times New Roman"/>
          <w:b w:val="false"/>
          <w:bCs w:val="false"/>
          <w:u w:val="none"/>
        </w:rPr>
        <w:t xml:space="preserve">További információkat a sütik kezeléséről az adott program súgójában, illetve a következő hivatkozásokon, a program nevére kattintva találhat: </w:t>
      </w:r>
      <w:hyperlink r:id="rId10">
        <w:r>
          <w:rPr>
            <w:rStyle w:val="Internethivatkozs"/>
            <w:rFonts w:cs="Times New Roman"/>
            <w:b w:val="false"/>
            <w:bCs w:val="false"/>
            <w:iCs w:val="false"/>
          </w:rPr>
          <w:t>Internet Explorer</w:t>
        </w:r>
      </w:hyperlink>
      <w:r>
        <w:rPr>
          <w:rStyle w:val="SubtleEmphasis"/>
          <w:rFonts w:cs="Times New Roman"/>
          <w:b w:val="false"/>
          <w:bCs w:val="false"/>
          <w:u w:val="none"/>
        </w:rPr>
        <w:t xml:space="preserve">, </w:t>
      </w:r>
      <w:hyperlink r:id="rId11">
        <w:r>
          <w:rPr>
            <w:rStyle w:val="Internethivatkozs"/>
            <w:rFonts w:cs="Times New Roman"/>
            <w:b w:val="false"/>
            <w:bCs w:val="false"/>
            <w:iCs w:val="false"/>
          </w:rPr>
          <w:t>Chrome</w:t>
        </w:r>
      </w:hyperlink>
      <w:r>
        <w:rPr>
          <w:rStyle w:val="SubtleEmphasis"/>
          <w:rFonts w:cs="Times New Roman"/>
          <w:b w:val="false"/>
          <w:bCs w:val="false"/>
          <w:u w:val="none"/>
        </w:rPr>
        <w:t xml:space="preserve">, </w:t>
      </w:r>
      <w:hyperlink r:id="rId12">
        <w:r>
          <w:rPr>
            <w:rStyle w:val="Internethivatkozs"/>
            <w:rFonts w:cs="Times New Roman"/>
            <w:b w:val="false"/>
            <w:bCs w:val="false"/>
            <w:iCs w:val="false"/>
          </w:rPr>
          <w:t>Mozilla Firefox</w:t>
        </w:r>
      </w:hyperlink>
      <w:r>
        <w:rPr>
          <w:rStyle w:val="SubtleEmphasis"/>
          <w:rFonts w:cs="Times New Roman"/>
          <w:b w:val="false"/>
          <w:bCs w:val="false"/>
          <w:u w:val="none"/>
        </w:rPr>
        <w:t xml:space="preserve">, </w:t>
      </w:r>
      <w:hyperlink r:id="rId13">
        <w:r>
          <w:rPr>
            <w:rStyle w:val="Internethivatkozs"/>
            <w:rFonts w:cs="Times New Roman"/>
            <w:b w:val="false"/>
            <w:bCs w:val="false"/>
            <w:iCs w:val="false"/>
          </w:rPr>
          <w:t>Edge</w:t>
        </w:r>
      </w:hyperlink>
      <w:r>
        <w:rPr>
          <w:rStyle w:val="SubtleEmphasis"/>
          <w:rFonts w:cs="Times New Roman"/>
          <w:b w:val="false"/>
          <w:bCs w:val="false"/>
          <w:u w:val="none"/>
        </w:rPr>
        <w:t>.</w:t>
      </w:r>
    </w:p>
    <w:p>
      <w:pPr>
        <w:pStyle w:val="Cmsor3"/>
        <w:rPr/>
      </w:pPr>
      <w:bookmarkStart w:id="0" w:name="_GoBack"/>
      <w:bookmarkEnd w:id="0"/>
      <w:r>
        <w:rPr/>
        <w:t>Weboldalon megjelenített kép- és videófelvételek</w:t>
      </w:r>
    </w:p>
    <w:p>
      <w:pPr>
        <w:pStyle w:val="Normal"/>
        <w:rPr/>
      </w:pPr>
      <w:r>
        <w:rPr/>
        <w:t>Weboldalunkon rendszeresen beszámolunk a</w:t>
      </w:r>
      <w:r>
        <w:rPr>
          <w:rFonts w:eastAsia="Calibri" w:cs=""/>
          <w:color w:val="00000A"/>
          <w:kern w:val="0"/>
          <w:sz w:val="22"/>
          <w:szCs w:val="22"/>
          <w:lang w:val="hu-HU" w:eastAsia="en-US" w:bidi="ar-SA"/>
        </w:rPr>
        <w:t>z intézményünket</w:t>
      </w:r>
      <w:r>
        <w:rPr/>
        <w:t xml:space="preserve"> érintő aktuális hírekről, eseményekről, rendezvényekről és programokról, amelyek kapcsán alkalmanként kép- és videófelvételeket is megjelentetünk. </w:t>
      </w:r>
    </w:p>
    <w:p>
      <w:pPr>
        <w:pStyle w:val="Normal"/>
        <w:rPr>
          <w:b/>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pPr>
      <w:r>
        <w:rPr>
          <w:u w:val="single"/>
        </w:rPr>
        <w:t>Az adatkezelés célja</w:t>
      </w:r>
    </w:p>
    <w:p>
      <w:pPr>
        <w:pStyle w:val="Normal"/>
        <w:rPr/>
      </w:pPr>
      <w:r>
        <w:rPr/>
        <w:t>A weboldal látogatóinak tájékoztatása.</w:t>
      </w:r>
    </w:p>
    <w:p>
      <w:pPr>
        <w:pStyle w:val="Normal"/>
        <w:rPr/>
      </w:pPr>
      <w:r>
        <w:rPr>
          <w:u w:val="single"/>
        </w:rPr>
        <w:t>Az adatkezelés jogalapja</w:t>
      </w:r>
    </w:p>
    <w:p>
      <w:pPr>
        <w:pStyle w:val="Normal"/>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felvételeken szereplő, beazonosítható, felismerhető természetes személyek képmása.</w:t>
      </w:r>
    </w:p>
    <w:p>
      <w:pPr>
        <w:pStyle w:val="Normal"/>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weboldalunkról történő törléséig.</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r>
        <w:rPr/>
        <w:t xml:space="preserve"> </w:t>
      </w:r>
    </w:p>
    <w:p>
      <w:pPr>
        <w:pStyle w:val="Normal"/>
        <w:rPr>
          <w:rFonts w:cs="Times New Roman"/>
        </w:rPr>
      </w:pPr>
      <w:r>
        <w:rPr>
          <w:rFonts w:cs="Times New Roman"/>
        </w:rPr>
        <w:t>Adatai törlését is kérheti, s kérésére azokat a felvételeket, amelyeken beazonosítható, felismerhető, weboldalunkról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Cmsor3"/>
        <w:rPr/>
      </w:pPr>
      <w:r>
        <w:rPr/>
        <w:t>Érdeklődés, kapcsolatfelvétel során kezelt adatok</w:t>
      </w:r>
    </w:p>
    <w:p>
      <w:pPr>
        <w:pStyle w:val="Normal"/>
        <w:rPr/>
      </w:pPr>
      <w:r>
        <w:rPr>
          <w:rFonts w:cs="Times New Roman"/>
        </w:rPr>
        <w:t>Weboldalunkon megtalálható elérhetőségeink bármelyikén felveheti Velünk a kapcsolatot. A kapcsolatfelvétel során megadott személyes adatait kizárólag az érdeklődővel történő kapcsolattartásra használjuk, azokat nem továbbítjuk harmadik fél számára.</w:t>
      </w:r>
    </w:p>
    <w:p>
      <w:pPr>
        <w:pStyle w:val="Normal"/>
        <w:spacing w:beforeAutospacing="1" w:afterAutospacing="1"/>
        <w:jc w:val="left"/>
        <w:rPr/>
      </w:pPr>
      <w:r>
        <w:rPr>
          <w:u w:val="single"/>
        </w:rPr>
        <w:t>Az adatkezelés célja</w:t>
      </w:r>
    </w:p>
    <w:p>
      <w:pPr>
        <w:pStyle w:val="Normal"/>
        <w:rPr/>
      </w:pPr>
      <w:r>
        <w:rPr/>
        <w:t>Az érdeklődők tájékoztatása.</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kapcsolatfelvétel során az alábbi adatok közül az Ön által önkéntesen megadottakat kezeljük:</w:t>
      </w:r>
    </w:p>
    <w:p>
      <w:pPr>
        <w:pStyle w:val="ListParagraph"/>
        <w:numPr>
          <w:ilvl w:val="0"/>
          <w:numId w:val="2"/>
        </w:numPr>
        <w:spacing w:lineRule="auto" w:line="240"/>
        <w:rPr/>
      </w:pPr>
      <w:r>
        <w:rPr/>
        <w:t>név,</w:t>
      </w:r>
    </w:p>
    <w:p>
      <w:pPr>
        <w:pStyle w:val="ListParagraph"/>
        <w:numPr>
          <w:ilvl w:val="0"/>
          <w:numId w:val="2"/>
        </w:numPr>
        <w:spacing w:lineRule="auto" w:line="240"/>
        <w:rPr/>
      </w:pPr>
      <w:r>
        <w:rPr/>
        <w:t>e-mail cím,</w:t>
      </w:r>
    </w:p>
    <w:p>
      <w:pPr>
        <w:pStyle w:val="ListParagraph"/>
        <w:numPr>
          <w:ilvl w:val="0"/>
          <w:numId w:val="2"/>
        </w:numPr>
        <w:spacing w:lineRule="auto" w:line="240"/>
        <w:rPr/>
      </w:pPr>
      <w:r>
        <w:rPr/>
        <w:t>telefonszám,</w:t>
      </w:r>
    </w:p>
    <w:p>
      <w:pPr>
        <w:pStyle w:val="ListParagraph"/>
        <w:numPr>
          <w:ilvl w:val="0"/>
          <w:numId w:val="2"/>
        </w:numPr>
        <w:spacing w:lineRule="auto" w:line="240"/>
        <w:rPr>
          <w:shd w:fill="auto" w:val="clear"/>
        </w:rPr>
      </w:pPr>
      <w:r>
        <w:rPr>
          <w:rFonts w:cs="Times New Roman"/>
          <w:shd w:fill="auto" w:val="clear"/>
        </w:rPr>
        <w:t>cím (postai cím).</w:t>
      </w:r>
    </w:p>
    <w:p>
      <w:pPr>
        <w:pStyle w:val="Normal"/>
        <w:rPr/>
      </w:pPr>
      <w:r>
        <w:rPr>
          <w:rFonts w:cs="Times New Roman"/>
          <w:u w:val="single"/>
        </w:rPr>
        <w:t>Az adatkezelés időtartama</w:t>
      </w:r>
    </w:p>
    <w:p>
      <w:pPr>
        <w:pStyle w:val="Normal"/>
        <w:rPr/>
      </w:pPr>
      <w:r>
        <w:rPr>
          <w:rFonts w:cs="Times New Roman"/>
        </w:rPr>
        <w:t xml:space="preserve">Személyes adatait a kapcsolatfelvétel jellegétől függően különböző ideig kezeljük. </w:t>
      </w:r>
    </w:p>
    <w:p>
      <w:pPr>
        <w:pStyle w:val="Normal"/>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Cmsor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Cmsor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lvlText w:val="%1."/>
      <w:lvlJc w:val="left"/>
      <w:pPr>
        <w:tabs>
          <w:tab w:val="num" w:pos="0"/>
        </w:tabs>
        <w:ind w:left="360" w:hanging="360"/>
      </w:pPr>
    </w:lvl>
    <w:lvl w:ilvl="1">
      <w:start w:val="1"/>
      <w:pStyle w:val="Cmsor2"/>
      <w:numFmt w:val="decimal"/>
      <w:lvlText w:val="%1.%2"/>
      <w:lvlJc w:val="left"/>
      <w:pPr>
        <w:tabs>
          <w:tab w:val="num" w:pos="0"/>
        </w:tabs>
        <w:ind w:left="36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Hangsúlyozás"/>
    <w:basedOn w:val="DefaultParagraphFont"/>
    <w:uiPriority w:val="20"/>
    <w:qFormat/>
    <w:rsid w:val="0007457f"/>
    <w:rPr>
      <w:i/>
      <w:iCs/>
    </w:rPr>
  </w:style>
  <w:style w:type="character" w:styleId="Internethivatkozs">
    <w:name w:val="Internet-hivatkozás"/>
    <w:basedOn w:val="DefaultParagraphFont"/>
    <w:uiPriority w:val="99"/>
    <w:unhideWhenUsed/>
    <w:rsid w:val="001330ad"/>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link w:val="Cmsor1"/>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link w:val="Alcm"/>
    <w:uiPriority w:val="11"/>
    <w:qFormat/>
    <w:rsid w:val="00002581"/>
    <w:rPr>
      <w:rFonts w:ascii="Times New Roman" w:hAnsi="Times New Roman" w:eastAsia="" w:eastAsiaTheme="minorEastAsia"/>
      <w:spacing w:val="15"/>
    </w:rPr>
  </w:style>
  <w:style w:type="character" w:styleId="CmChar" w:customStyle="1">
    <w:name w:val="Cím Char"/>
    <w:basedOn w:val="DefaultParagraphFont"/>
    <w:link w:val="Cm"/>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link w:val="Lbjegyzetszveg"/>
    <w:uiPriority w:val="99"/>
    <w:semiHidden/>
    <w:qFormat/>
    <w:rsid w:val="00002581"/>
    <w:rPr>
      <w:sz w:val="20"/>
      <w:szCs w:val="20"/>
    </w:rPr>
  </w:style>
  <w:style w:type="character" w:styleId="Lbjegyzethorgony" w:customStyle="1">
    <w:name w:val="Lábjegyzet-horgony"/>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link w:val="Cmsor2"/>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link w:val="Cmsor3"/>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link w:val="Cmsor4"/>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bjegyzetkarakterek" w:customStyle="1">
    <w:name w:val="Lábjegyzet-karakterek"/>
    <w:qFormat/>
    <w:rPr/>
  </w:style>
  <w:style w:type="character" w:styleId="Vgjegyzethorgony" w:customStyle="1">
    <w:name w:val="Végjegyzet-horgony"/>
    <w:rPr>
      <w:vertAlign w:val="superscript"/>
    </w:rPr>
  </w:style>
  <w:style w:type="character" w:styleId="Vgjegyzetkarakterek" w:customStyle="1">
    <w:name w:val="Végjegyzet-karakterek"/>
    <w:qFormat/>
    <w:rPr/>
  </w:style>
  <w:style w:type="character" w:styleId="Megltogatottinternethivatkozs" w:customStyle="1">
    <w:name w:val="Meglátogatott internet-hivatkozás"/>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link w:val="Szvegtrzs"/>
    <w:qFormat/>
    <w:rsid w:val="00090c0d"/>
    <w:rPr>
      <w:rFonts w:ascii="Times New Roman" w:hAnsi="Times New Roman" w:eastAsia="Calibri"/>
      <w:color w:val="00000A"/>
      <w:sz w:val="22"/>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link w:val="SzvegtrzsChar"/>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ascii="Times New Roman" w:hAnsi="Times New Roman"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ur-lex.europa.eu/legal-content/HU/TXT/HTML/?uri=CELEX:32016R0679&amp;from=HU" TargetMode="External"/><Relationship Id="rId4" Type="http://schemas.openxmlformats.org/officeDocument/2006/relationships/hyperlink" Target="http://net.jogtar.hu/jr/gen/hjegy_doc.cgi?docid=A1100112.TV" TargetMode="External"/><Relationship Id="rId5" Type="http://schemas.openxmlformats.org/officeDocument/2006/relationships/hyperlink" Target="http://naih.hu/uegyfelszolgalat,--kapcsolat.html" TargetMode="External"/><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hyperlink" Target="https://policies.google.com/technologies/ads?hl=hu&amp;gl=hu" TargetMode="External"/><Relationship Id="rId9" Type="http://schemas.openxmlformats.org/officeDocument/2006/relationships/hyperlink" Target="https://policies.google.com/privacy/update?hl=hu&amp;gl=hu" TargetMode="External"/><Relationship Id="rId10" Type="http://schemas.openxmlformats.org/officeDocument/2006/relationships/hyperlink" Target="https://support.microsoft.com/hu-hu/help/17442/windows-internet-explorer-delete-manage-cookies" TargetMode="External"/><Relationship Id="rId11" Type="http://schemas.openxmlformats.org/officeDocument/2006/relationships/hyperlink" Target="https://support.google.com/accounts/answer/61416?hl=hu" TargetMode="External"/><Relationship Id="rId12" Type="http://schemas.openxmlformats.org/officeDocument/2006/relationships/hyperlink" Target="https://support.mozilla.org/hu/kb/sutik-informacio-amelyet-weboldalak-tarolnak-szami?redirectlocale=hu&amp;redirectslug=S&#252;tik+kezel&#233;se" TargetMode="External"/><Relationship Id="rId13" Type="http://schemas.openxmlformats.org/officeDocument/2006/relationships/hyperlink" Target="https://privacy.microsoft.com/hu-hu/windows-10-microsoft-edge-and-privacy"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768F-2C5A-45A1-8B85-9A5F2964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Application>LibreOffice/7.1.2.2$Windows_X86_64 LibreOffice_project/8a45595d069ef5570103caea1b71cc9d82b2aae4</Application>
  <AppVersion>15.0000</AppVersion>
  <Pages>5</Pages>
  <Words>1459</Words>
  <Characters>10969</Characters>
  <CharactersWithSpaces>12336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2022-01-03T07:24:04Z</dcterms:created>
  <dc:creator>HANGANOV Kft.</dc:creator>
  <dc:description/>
  <dc:language>hu-HU</dc:language>
  <cp:lastModifiedBy>HANGANOV Kft.</cp:lastModifiedBy>
  <dcterms:modified xsi:type="dcterms:W3CDTF">2022-05-18T08:34:30Z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